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687"/>
      </w:tblGrid>
      <w:tr w:rsidR="007D0673" w:rsidRPr="007D0673" w:rsidTr="00BA194D">
        <w:trPr>
          <w:trHeight w:val="238"/>
        </w:trPr>
        <w:tc>
          <w:tcPr>
            <w:tcW w:w="3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 190</w:t>
            </w:r>
          </w:p>
        </w:tc>
      </w:tr>
    </w:tbl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bookmarkStart w:id="0" w:name="_Hlk124274081"/>
      <w:r w:rsidRPr="007D067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IX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  <w:r w:rsidR="00D632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bookmarkEnd w:id="0"/>
    <w:p w:rsidR="007D0673" w:rsidRPr="007D0673" w:rsidRDefault="007D0673" w:rsidP="007D0673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 учреждений образования, реализующих образовательные программы общего среднего образования.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учебная программа рассчитана на 175 часов в V–VIII классах (5 учебных часов в неделю) и на 152 часа в IX классе (4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учебных часа в неделю в первом полугодии, 5 учебных часов в неделю во втором полугодии учебного года). При этом для каждого с V по IX класс предусмотрено по 5 резервных часов.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 изучении учебного предмета «Математика» в VII–IX классах выделяются два содержательных компонента: алгебраический и геометрический. В VII–VIII классах при изучении содержания алгебраического и геометрического компонентов учебные часы распределяются: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 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 в неделю. В IX классе при изучении содержания алгебраического и геометрического компонентов учебные часы распределяются: I четверть – 4 учебных часа в неделю: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 четверть – 4 учебных часа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1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III и IV четверти – 5 учебных часов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учебных часов, отведенное на изучение содержания соответствующих тем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Цели: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математической грамотности и овладение ими при изучении учебного предмета «Математика» разнообразными способами деятельности, применимыми как в рамках образовательного процесса, так и в реальных жизненных ситуациях;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овладение учащимися компонентами предметной компетенции, которые необходимы для продолжения получения образования на III ступени общего среднего образования или на уровнях профессионально-технического, среднего специального 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речи, логического и критического мышления, способности аргументированно отстаивать свои убеждения;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учащихся умений работать с различными источниками информации, описывать реальные объекты и явления с помощью математических моделей;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 учащихся, обеспечивающих социальную мобильность, способность принимать самостоятельные решения и нести за них ответственность;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 учащихся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математических способностей, интереса к творческой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(игровые методы, метод проблемного обучения, метод проектов, иные методы обучения и воспитания).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«Математика»: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личностные: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метапредметные: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имеет сформированные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анализировать,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целях, выделять главное, существенные признаки понятий, работать с текстовой и графической информацией (анализировать, извлекать необходимую информацию);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имеет представление о (об):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изучаемых математических понятиях (выражение (числовое выражение, выражение с переменными); уравнение, неравенство; системы уравнений и неравенств; геометрическая фигура; функция) как о важнейших математических моделях, позволяющих описывать и изучать разные процессы и явления;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функциях, в том числе арифметической и геометрической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прогрессиях и их свойствах, множествах и операциях над ними;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выполнения тождественных преобразований числовых выражений и выражений с переменными; решения линейных, квадратных и дробно-рациональных уравнений; систем и совокупностей линейных и нелинейных уравнений; линейных, квадратных и дробно-рациональных неравенств, систем неравенств; построения графиков функций;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решения геометрических задач на доказательство и вычисление с использованием свойств фигур;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навыками моделирования при решении текстовых, практико-ориентированных задач, задач с межпредметным содержанием;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умеет: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применять понятия,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работать с математическим текстом, извлекая и интерпретируя информацию, представленную в различной форме (таблиц, диаграмм, графиков, схем, иных формах);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распознавать на чертежах, моделях и в реальном мире геометрические фигуры;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геометрические величины при решении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применять основные свойства и признаки геометрических фигур при решении задач на доказательство и вычисление.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7.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2–6 настоящей учебной программы, и на этой основе осуществляется корректировка учебно-познавательной деятельности учащихся.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V–VI классы – 6 работ;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VII–IX классы – 8 работ.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тематических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учебными предметами.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D63237">
        <w:rPr>
          <w:rFonts w:ascii="Times New Roman" w:eastAsia="Times New Roman" w:hAnsi="Times New Roman" w:cs="Times New Roman"/>
          <w:sz w:val="30"/>
          <w:szCs w:val="30"/>
        </w:rPr>
        <w:t>2</w:t>
      </w:r>
      <w:bookmarkStart w:id="1" w:name="_GoBack"/>
      <w:bookmarkEnd w:id="1"/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IX КЛАССЕ.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(всего 152 часа, в том числе 5 резервных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91 час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61 час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Рациональные выражения (23 часа)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Рациональная дробь. Основное свойство рациональной дроби. Сокращение рациональных дробей.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Сложение, вычитание, умножение, деление и возведение в степень рациональных дробей.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Преобразования рациональных дробей.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 и задачи с 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рациональная дробь, рациональные выражения, целое рациональное выражение, дробное рациональное выражение, область определения рациональной дроби, сокращение рациональной дроби;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определение рациональной дроби;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сокращения дробей;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сложения, вычитания, умножения, деления и возведения в степень рациональных дробей;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операции с рациональными дробями; совместные действия с рациональными дробями;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Функции (16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Функция числового аргумента. Область определения, множество значений. Способы задания функции. Свойства функции (область определения, множество значений, нули функции, промежутки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знакопостоянства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, возрастание и убывание). Четные и нечетные функции.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Построение графиков функций: y = </w:t>
      </w:r>
      <w:proofErr w:type="gram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f(</w:t>
      </w:r>
      <w:proofErr w:type="gram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x ± a), y = f(x) ± b, a, b</w:t>
      </w:r>
      <m:oMath>
        <m: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∈</m:t>
        </m:r>
      </m:oMath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R с помощью преобразования графика функции y = f(x).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 и задачи с 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графиков функций:</w:t>
      </w:r>
      <w:r w:rsidRPr="007D06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y =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kf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(x), y = f(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kx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), k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∈</m:t>
        </m:r>
      </m:oMath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R,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k≠0</m:t>
        </m:r>
      </m:oMath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7D0673" w:rsidRPr="007D0673" w:rsidRDefault="007D0673" w:rsidP="007D06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y = f(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y =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f(x)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 помощью преобразования графика функции </w:t>
      </w:r>
    </w:p>
    <w:p w:rsidR="007D0673" w:rsidRPr="007D0673" w:rsidRDefault="007D0673" w:rsidP="007D06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y = f(x)**.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область определения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множество значений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нули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промежутки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знакопостоянства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четные и нечетные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возрастание и убывание (монотонность)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функции числового аргумента; графика функции; четной и нечетной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построения графиков функции с помощью преобразований;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находить область определения и множество значений функции; нули функции; промежутки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знакопостоянства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функции; промежутки возрастания и убывания (монотонность)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построение графиков функции с помощью преобразований;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реальные процессы с помощью функций;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свойства функций для решения задач с помощью графических моделей;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Дробно-рациональные уравнения и неравенства (31 час)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Дробно-рациональные уравнения. Решение дробно-рациональных уравнений и уравнений, сводящихся к ним. Моделирование реальных процессов с помощью дробно-рациональных уравнений.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Формула длины отрезка с заданными координатами концов. Уравнение окружности.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Системы нелинейных уравнений. Решение систем нелинейных уравнений. Графический метод решения систем нелинейных уравнений. Моделирование реальных процессов с помощью систем нелинейных уравнений.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Дробно-рациональные неравенства. Метод интервалов для решения рациональных неравенств.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 и задачи с 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неравенства, содержащие выражения под знаком модуля**.</w:t>
      </w:r>
      <w:r w:rsidRPr="007D06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D0673" w:rsidRPr="007D0673" w:rsidRDefault="007D0673" w:rsidP="007D067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дробно-рациональное уравнение;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дробно-рациональное неравенство;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уравнение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решения дробно-рациональных уравнений;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решения рациональных неравенств методом интервалов;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уравнение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формулу длины отрезка с заданными координатами концов;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некоторые виды дробно-рациональных уравнений; дробно-рациональные неравенства методом интервалов; системы и совокупности рациональных неравенств и уравнений;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записывать уравнение окружности с заданным центром и радиусом;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длину отрезка, зная координаты его концов;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 моделирование реальных ситуаций с помощью дробно-рациональных уравнений; систем уравнений; дробно-рациональных неравенств.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Прогрессии (18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Числовая последовательность. Способы задания числовой последовательности.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Арифметическая и геометрическая прогрессии, их свойства. Формулы n-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члена и суммы n первых членов арифметической и геометрической прогрессий. Характеристические свойства арифметической и геометрической прогрессий. Применение свойств прогрессий к решению задач.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Бесконечно убывающая геометрическая прогрессия. Сумма бесконечно убывающей геометрической прогрессии. Представление бесконечной периодической десятичной дроби в виде обыкновенной дроби.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Моделирование реальных процессов с помощью свойств арифметической и геометрической прогрессий.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 и задачи с 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функция натурального аргумента;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числовая последовательность;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арифметическая и геометрическая прогрессии;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прогрессии;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разность арифметической прогрессии;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знаменатель геометрической прогрессии;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бесконечно убывающая геометрическая прогрессия;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арифметической и геометрической прогрессий; бесконечно убывающей геометрической прогрессии;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формулы n-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члена и суммы n первых членов арифметической и геометрической прогрессий;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характеристические свойства арифметической и геометрической прогрессий;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формулу суммы бесконечно убывающей геометрической прогрессии;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формулы n-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члена для определения члена прогрессии по его номеру и номера члена прогрессии; определения разности арифметической прогрессии и знаменателя геометрической прогрессии; характеристические свойства для определения вида последовательности, решения задач на отыскание элементов прогрессий;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выводить формулы n-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члена арифметической и геометрической прогрессий и суммы n первых членов арифметической и геометрической прогрессий;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применение формулы n-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члена и суммы n первых членов арифметической и геометрической прогрессий;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сумму членов бесконечно убывающей геометрической прогрессии;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бесконечную периодическую десятичную дробь в виде обыкновенной дроби;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Соотношения в прямоугольном треугольнике (14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Синус, косинус, тангенс, котангенс острого угла.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прямоугольного треугольника.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Тригонометрические формулы.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Синус, косинус, тангенс, котангенс тупого угла.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Формула площади треугольника и параллелограмма.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Среднее пропорциональное (среднее геометрическое) в прямоугольном треугольнике.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 межпредметным содержанием и 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Теорема о площадях треугольников с общим (равным) углом. Теорема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Менелая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. Неравенство Коши. Площадь выпуклого четырехугольника**.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синус, косинус, тангенс, котангенс острого угла;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проекция катета на гипотенузу;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среднее пропорциональное чисел;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среднее геометрическое;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синуса, косинуса, тангенса, котангенса острого угла;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тригонометрическое тождество: sin</w:t>
      </w:r>
      <w:r w:rsidRPr="007D06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m:oMath>
        <m:r>
          <w:rPr>
            <w:rFonts w:ascii="Cambria Math" w:eastAsia="Times New Roman" w:hAnsi="Cambria Math" w:cs="Times New Roman"/>
            <w:sz w:val="30"/>
            <w:szCs w:val="30"/>
            <w:vertAlign w:val="superscript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α</m:t>
        </m:r>
      </m:oMath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cos</w:t>
      </w:r>
      <w:r w:rsidRPr="007D06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m:oMath>
        <m:r>
          <w:rPr>
            <w:rFonts w:ascii="Cambria Math" w:eastAsia="Times New Roman" w:hAnsi="Cambria Math" w:cs="Times New Roman"/>
            <w:sz w:val="30"/>
            <w:szCs w:val="30"/>
            <w:vertAlign w:val="superscript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α</m:t>
        </m:r>
      </m:oMath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= 1;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значения синуса, косинуса, тангенса и котангенса углов 30°, 45°, 60°;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формулы, выражающие тангенс и котангенс одного и того же угла, через синус и косинус того же угла: </w:t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4F76C2A" wp14:editId="22FD356A">
            <wp:extent cx="731520" cy="342900"/>
            <wp:effectExtent l="0" t="0" r="0" b="0"/>
            <wp:docPr id="7" name="Рисунок 19" descr="C:\NCPI_CLIENT\EKBD\Texts\w21934686p.files\0800000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NCPI_CLIENT\EKBD\Texts\w21934686p.files\0800000D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F6F926" wp14:editId="2BC1183F">
            <wp:extent cx="731520" cy="342900"/>
            <wp:effectExtent l="0" t="0" r="0" b="0"/>
            <wp:docPr id="8" name="Рисунок 20" descr="C:\NCPI_CLIENT\EKBD\Texts\w21934686p.files\0800001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NCPI_CLIENT\EKBD\Texts\w21934686p.files\08000011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площади треугольника и параллелограмма, связанные с синусом угла;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алгоритмы решения прямоугольного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теорему о среднем пропорциональном в прямоугольном треугольнике;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 теорему о среднем пропорциональном в прямоугольном треугольнике;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выводить формулы площади треугольника и параллелограмма, связанные с синусом угла;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значения тригонометрических функций углов от 0° до 180°, кратных 30°, 45° и 60°; стороны, углы и площадь прямоугольного треугольника по известным сторонам и углам;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указанные теоремы и формулы к решению задач на вычисление и доказательство;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Вписанные и описанные окружности (15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Описанная и вписанная окружности треугольника.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Прямоугольный треугольник и его описанная и вписанная окружности.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Вписанные и описанные четырехугольники.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 и задачи с 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Описанная трапеция.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Свойства и признаки вписанного четырехугольника</w:t>
      </w:r>
      <w:r w:rsidRPr="007D0673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Pr="007D0673">
        <w:rPr>
          <w:rFonts w:ascii="Times New Roman" w:eastAsia="Times New Roman" w:hAnsi="Times New Roman" w:cs="Times New Roman"/>
          <w:color w:val="5B9BD5"/>
          <w:sz w:val="30"/>
          <w:szCs w:val="30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Вневписанные окружности. Обобщенная теорема Пифагора. Формула Эйлера для окружностей**</w:t>
      </w:r>
      <w:r w:rsidRPr="007D0673">
        <w:rPr>
          <w:rFonts w:ascii="Times New Roman" w:eastAsia="Times New Roman" w:hAnsi="Times New Roman" w:cs="Times New Roman"/>
          <w:color w:val="5B9BD5"/>
          <w:sz w:val="30"/>
          <w:szCs w:val="30"/>
        </w:rPr>
        <w:t xml:space="preserve">.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вписанная и описанная окружности, центр вписанной и описанной окружностей;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вписанный и описанный многоугольники;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описанной и вписанной окружностей треугольника (многоугольника); вписанного и описанного четырехугольников (многоугольников);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радиуса окружности, описанной около прямоугольного треугольника; радиуса окружности, вписанной в прямоугольный треугольник; площади треугольника, связанную с радиусом вписанной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и признаки вписанного четырехугольника, описанного четырехугольника;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об окружности, описанной около треугольника; окружности, вписанной в треугольник;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 теоремы об окружности, описанной около треугольника; об окружности, вписанной в треугольник; свойстве вписанного четырехугольника; свойстве описанного четырехугольника;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выводить формулы радиуса окружности, вписанной в прямоугольный треугольник; площади треугольника, связанной с радиусом вписанной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теоремы к решению задач на вычисление и доказательство;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вписанную и описанную окружности треугольника при помощи циркуля и линейки;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 построение, практико-ориентированные задачи, задачи с межпредметным содержанием, анализировать и 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Теорема синусов. Теорема косинусов (15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Теорема синусов. Теорема косинусов. Формула Герона.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треугольников.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 и задачи с 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Формула медианы и биссектрисы треугольника.</w:t>
      </w:r>
      <w:r w:rsidRPr="007D06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Теорема Стюарта. Теорема Птолемея о вписанном четырехугольнике**.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радиус окружности, описанной около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Герона;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теоремы синусов; косинусов;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следствия из теоремы косинусов;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 теорему синусов и теорему косинусов;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находить косинус угла треугольника, заданного тремя сторонами;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определять вид треугольника по трем его сторонам;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площадь треугольника, заданного тремя сторонами и радиусом описанной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находить неизвестные стороны и углы (другие элементы) по данным, определяющим треугольник;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указанные теоремы к решению задач на вычисление и доказательство;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8. Правильные многоугольники (15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Правильные многоугольники. Окружность, описанная около правильного многоугольника, и окружность, вписанная в правильный многоугольник.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Формулы радиусов, описанной и вписанной окружностей правильного многоугольника. Правильный треугольник, четырехугольник, шестиугольник.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Длина окружности и площадь круга. Сектор и сегмент круга. Длина дуги, площадь сектора и сегмента круга.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 и задачи с 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Золотое сечение**.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Векторы и координаты**.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правильный многоугольник, центр правильного n-угольника;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окружность, длина дуги окружности, круг, сектор, радиус сектора, дуга сектора, угол сектора, сегмент;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правильного многоугольника; сектора и сегмента круга;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число </w:t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9CC02E1" wp14:editId="12972AFD">
            <wp:extent cx="121920" cy="144780"/>
            <wp:effectExtent l="0" t="0" r="0" b="0"/>
            <wp:docPr id="9" name="Рисунок 32" descr="C:\NCPI_CLIENT\EKBD\Texts\w21934686p.files\0800001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NCPI_CLIENT\EKBD\Texts\w21934686p.files\0800001Dw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формулы для нахождения радиусов описанной и вписанной окружностей правильного многоугольника по заданной стороне правильного треугольника, четырехугольника, шестиугольника; высоты, площади правильного треугольника по заданной стороне; длины дуги окружности, площади круга, площади сектора, сегмента круга;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теорему об окружности, описанной около правильного многоугольника и об окружности, вписанной в правильный многоугольник;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находить радиусы описанной и вписанной окружностей правильного многоугольника; площади правильного треугольника и шестиугольника; нахождения величины внутреннего угла правильного многоугольника; длину дуги заданной окружности, угол сектора круга, длину дуги сектора круга; площадь круга, сектора заданного круга, сегмента заданного круга;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указанные теоремы и формулы к решению задач на вычисление и доказательство;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673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7D0673">
        <w:rPr>
          <w:rFonts w:ascii="Times New Roman" w:eastAsia="Times New Roman" w:hAnsi="Times New Roman" w:cs="Times New Roman"/>
          <w:lang w:eastAsia="ru-RU"/>
        </w:rPr>
        <w:t>Данные темы предназначены для самостоятельной поисково-исследовательской или проектной деятельности учащихся (индивидуальной или групповой), организуемой педагогическим работником.</w:t>
      </w:r>
    </w:p>
    <w:p w:rsidR="009F6307" w:rsidRDefault="007D0673" w:rsidP="007D0673">
      <w:pPr>
        <w:spacing w:after="0" w:line="240" w:lineRule="auto"/>
        <w:ind w:firstLine="709"/>
      </w:pPr>
      <w:r w:rsidRPr="007D0673">
        <w:rPr>
          <w:rFonts w:ascii="Times New Roman" w:eastAsia="Times New Roman" w:hAnsi="Times New Roman" w:cs="Times New Roman"/>
          <w:vertAlign w:val="superscript"/>
          <w:lang w:eastAsia="ru-RU"/>
        </w:rPr>
        <w:lastRenderedPageBreak/>
        <w:sym w:font="Symbol" w:char="F02A"/>
      </w:r>
      <w:r w:rsidRPr="007D0673">
        <w:rPr>
          <w:rFonts w:ascii="Times New Roman" w:eastAsia="Times New Roman" w:hAnsi="Times New Roman" w:cs="Times New Roman"/>
          <w:vertAlign w:val="superscript"/>
          <w:lang w:eastAsia="ru-RU"/>
        </w:rPr>
        <w:sym w:font="Symbol" w:char="F02A"/>
      </w:r>
      <w:r w:rsidRPr="007D0673">
        <w:rPr>
          <w:rFonts w:ascii="Times New Roman" w:eastAsia="Times New Roman" w:hAnsi="Times New Roman" w:cs="Times New Roman"/>
          <w:lang w:eastAsia="ru-RU"/>
        </w:rPr>
        <w:t>Данные темы предназначены для изучения математики на повышенном уровне.</w:t>
      </w:r>
    </w:p>
    <w:sectPr w:rsidR="009F6307" w:rsidSect="007D0673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9D" w:rsidRDefault="0086109D">
      <w:pPr>
        <w:spacing w:after="0" w:line="240" w:lineRule="auto"/>
      </w:pPr>
      <w:r>
        <w:separator/>
      </w:r>
    </w:p>
  </w:endnote>
  <w:endnote w:type="continuationSeparator" w:id="0">
    <w:p w:rsidR="0086109D" w:rsidRDefault="0086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9D" w:rsidRDefault="0086109D">
      <w:pPr>
        <w:spacing w:after="0" w:line="240" w:lineRule="auto"/>
      </w:pPr>
      <w:r>
        <w:separator/>
      </w:r>
    </w:p>
  </w:footnote>
  <w:footnote w:type="continuationSeparator" w:id="0">
    <w:p w:rsidR="0086109D" w:rsidRDefault="0086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673" w:rsidRPr="001C176F" w:rsidRDefault="007D0673" w:rsidP="00B86D41">
    <w:pPr>
      <w:pStyle w:val="a6"/>
      <w:jc w:val="center"/>
      <w:rPr>
        <w:rFonts w:ascii="Times New Roman" w:hAnsi="Times New Roman"/>
        <w:sz w:val="28"/>
        <w:szCs w:val="28"/>
      </w:rPr>
    </w:pPr>
    <w:r w:rsidRPr="001C176F">
      <w:rPr>
        <w:rFonts w:ascii="Times New Roman" w:hAnsi="Times New Roman"/>
        <w:sz w:val="28"/>
        <w:szCs w:val="28"/>
      </w:rPr>
      <w:fldChar w:fldCharType="begin"/>
    </w:r>
    <w:r w:rsidRPr="001C176F">
      <w:rPr>
        <w:rFonts w:ascii="Times New Roman" w:hAnsi="Times New Roman"/>
        <w:sz w:val="28"/>
        <w:szCs w:val="28"/>
      </w:rPr>
      <w:instrText>PAGE   \* MERGEFORMAT</w:instrText>
    </w:r>
    <w:r w:rsidRPr="001C176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45</w:t>
    </w:r>
    <w:r w:rsidRPr="001C176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73"/>
    <w:rsid w:val="007D0673"/>
    <w:rsid w:val="0086109D"/>
    <w:rsid w:val="009F6307"/>
    <w:rsid w:val="00D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90CF"/>
  <w15:chartTrackingRefBased/>
  <w15:docId w15:val="{C6BC43AE-6AB4-4F46-8EE6-51A0E172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D0673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7D0673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06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0673"/>
  </w:style>
  <w:style w:type="paragraph" w:customStyle="1" w:styleId="chapter">
    <w:name w:val="chapt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7D0673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7D067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06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673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7D06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067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D0673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D067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7D067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7D067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7D067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7D067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067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D067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7D067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7D067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673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7D06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7D067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7D067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7D0673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7D0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D0673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7D067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7D067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7D0673"/>
    <w:rPr>
      <w:rFonts w:cs="Times New Roman"/>
      <w:vertAlign w:val="superscript"/>
    </w:rPr>
  </w:style>
  <w:style w:type="paragraph" w:customStyle="1" w:styleId="cap1">
    <w:name w:val="cap1"/>
    <w:basedOn w:val="a"/>
    <w:rsid w:val="007D06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7D067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7D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0673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7D0673"/>
    <w:rPr>
      <w:rFonts w:ascii="Symbol" w:hAnsi="Symbol" w:cs="Times New Roman"/>
    </w:rPr>
  </w:style>
  <w:style w:type="paragraph" w:customStyle="1" w:styleId="snoskiline">
    <w:name w:val="snoskiline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7D0673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7D067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7D067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7D0673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7D0673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D067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D0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7D0673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7D06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D0673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D067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D0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06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0673"/>
    <w:rPr>
      <w:rFonts w:cs="Times New Roman"/>
    </w:rPr>
  </w:style>
  <w:style w:type="character" w:styleId="afc">
    <w:name w:val="Placeholder Text"/>
    <w:basedOn w:val="a0"/>
    <w:uiPriority w:val="99"/>
    <w:semiHidden/>
    <w:rsid w:val="007D0673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7D0673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7D06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2023-09-01T13:18:00Z</dcterms:created>
  <dcterms:modified xsi:type="dcterms:W3CDTF">2023-09-01T13:18:00Z</dcterms:modified>
</cp:coreProperties>
</file>